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distribute"/>
        <w:spacing w:lineRule="exact" w:line="1000" w:before="0" w:after="0"/>
        <w:ind w:right="0" w:firstLine="0"/>
        <w:rPr>
          <w:b w:val="0"/>
          <w:color w:val="FF0000"/>
          <w:position w:val="0"/>
          <w:sz w:val="72"/>
          <w:szCs w:val="72"/>
          <w:shd w:val="clear" w:color="000000" w:fill="FFFFFF"/>
          <w:rFonts w:ascii="华文中宋" w:eastAsia="华文中宋" w:hAnsi="华文中宋" w:hint="default"/>
        </w:rPr>
        <w:autoSpaceDE w:val="1"/>
        <w:autoSpaceDN w:val="1"/>
      </w:pPr>
      <w:r>
        <w:rPr>
          <w:b w:val="0"/>
          <w:color w:val="FF0000"/>
          <w:position w:val="0"/>
          <w:sz w:val="72"/>
          <w:szCs w:val="72"/>
          <w:shd w:val="clear" w:color="000000" w:fill="FFFFFF"/>
          <w:rFonts w:ascii="华文中宋" w:eastAsia="华文中宋" w:hAnsi="华文中宋" w:hint="default"/>
        </w:rPr>
        <w:t>全国校外教育工作委员会</w:t>
      </w:r>
    </w:p>
    <w:p>
      <w:pPr>
        <w:numPr>
          <w:ilvl w:val="0"/>
          <w:numId w:val="0"/>
        </w:numPr>
        <w:jc w:val="center"/>
        <w:spacing w:lineRule="exact" w:line="800" w:before="0" w:after="0"/>
        <w:ind w:right="0" w:firstLine="0"/>
        <w:rPr>
          <w:b w:val="0"/>
          <w:color w:val="auto"/>
          <w:position w:val="0"/>
          <w:sz w:val="64"/>
          <w:szCs w:val="6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700" w:before="0" w:after="0"/>
        <w:ind w:right="0" w:firstLine="0"/>
        <w:rPr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国校外工委[2017]2号</w:t>
      </w:r>
    </w:p>
    <w:p>
      <w:pPr>
        <w:numPr>
          <w:ilvl w:val="0"/>
          <w:numId w:val="0"/>
        </w:numPr>
        <w:jc w:val="center"/>
        <w:spacing w:lineRule="exact" w:line="46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11" type="#_x0000_t32" style="position:absolute;left:0;margin-left:-9pt;mso-position-horizontal:absolute;mso-position-horizontal-relative:text;margin-top:3pt;mso-position-vertical:absolute;mso-position-vertical-relative:text;width:441.0pt;height:0.4pt;z-index:251624961" strokecolor="red" o:allowoverlap="0" strokeweight="1.50pt" fillcolor="white" filled="t" o:connectortype="straight"/>
        </w:pic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宋体" w:eastAsia="Times New Roman" w:hAnsi="Times New Roman" w:hint="default"/>
        </w:rPr>
        <w:t xml:space="preserve">     </w:t>
      </w:r>
      <w:r>
        <w:rPr>
          <w:color w:val="auto"/>
          <w:position w:val="0"/>
          <w:sz w:val="44"/>
          <w:szCs w:val="44"/>
          <w:rFonts w:ascii="宋体" w:eastAsia="Times New Roman" w:hAnsi="Times New Roman" w:hint="default"/>
        </w:rPr>
        <w:t xml:space="preserve">关于举办第一届全国校外教育说课比赛的               </w:t>
      </w:r>
      <w:r>
        <w:rPr>
          <w:color w:val="auto"/>
          <w:position w:val="0"/>
          <w:sz w:val="44"/>
          <w:szCs w:val="44"/>
          <w:rFonts w:ascii="宋体" w:eastAsia="Times New Roman" w:hAnsi="Times New Roman" w:hint="default"/>
        </w:rPr>
        <w:t xml:space="preserve">通  知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352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各省、市校外教育工作委员会、理事单位、理事：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   为促进全国校外教育系统的教学质量、教研能力、活动策划水平，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充分展示各省、市优秀校外单位、培训机构的专业、学科和教师的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教学水平和教研能力，在校外教育行业内形成比教学、抓质量、树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品牌的行业风气。全国校外教育工作委员会联合全国教育科学研究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领导小组办公室，举办第一届全国校外教育说课比赛，具体通知如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下：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   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一、主题内容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通过选择“一堂教学课”、“一个课程设计”、“一项活动方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案”的形式，向大家展示课堂教学、课程研发、活动策划等方面的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经验、方法、措施，用“说课”的形式进行探研、交流、学习，充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分展示校外教育工作者在各个专业中的课程设计、教学研究、活动策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划的专业水平。（选题不限，说课时间10分钟）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 二、组织机构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主办：全国教育科学研究领导小组办公室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     全国校外教育工作委员会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承办：北京稼轩教育科技研究院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三、比赛时间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spacing w:val="-20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2018年1月20-21日  比</w:t>
      </w:r>
      <w:r>
        <w:rPr>
          <w:spacing w:val="-20"/>
          <w:color w:val="auto"/>
          <w:position w:val="0"/>
          <w:sz w:val="28"/>
          <w:szCs w:val="28"/>
          <w:rFonts w:ascii="仿宋" w:eastAsia="仿宋" w:hAnsi="仿宋" w:hint="default"/>
        </w:rPr>
        <w:t>赛、颁奖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3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四、比赛地点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地点暂定：山东省教育学术交流中心（山东教育大厦）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五、参赛人员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在全国校外教育机构中从事教学、教研和青少年活动的专业工作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人员均可报名参加。本次比赛各省、市校外教育分会、各理事单位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可自行组织初赛，推荐选手参加全国比赛。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   本次比赛不向参赛人员收取参赛费用，交通费、生活费、住宿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费等自理或由推荐单位报销。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  六、选手的产生办法及要求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（一）各省、各市分会、理事单位接本通知后，可以根据比赛的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内容、分类、评分标准组织选手的推荐工作。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（二）各参赛单位请在2017年12月20日之前，将推荐选手的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参赛报名表、说课录像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、（画面清晰、稳定，分辨率不设要求）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课</w:t>
      </w: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件PPT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三份材料打包(文件名称写明参赛者姓名、单位)并以电子文档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形式发至指定邮箱gov_gov@126.com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（三）委员会组织专家进行看录像、PPT初审，通过初评选手参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加全国决赛。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（四）参赛选手说课时间为10分钟，评委按专业分类集中点评。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（五）比赛评比出：一等奖3名，二等奖7名，三等奖20名。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全国教育科学研究领导小组办公室、全国校外教育工作委员会颁发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证书。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（六）本次比赛的获奖选手将优先参加2017年度校外教育优秀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教师的评选。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  （七）本次比赛的获奖选手将参加2018年全国教育科学研究项目，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通过项目研究，将予以颁发全国教育科学优秀成果奖。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七、赞助说明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本次比赛欢迎全国各地企业、校外教育单位、培训机构提供冠名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赞助，另为实现比赛总体收支平衡，特向全体分会、理事单位征求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协办权，提供赞助。赞助费用于选手奖金（奖品）和聘请评委费用，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赞助单位可申请将比赛现场设在本省、市举办。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赞助单位将获得特别荣誉奖励。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八、其他事项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联系单位：北京稼轩教育科技研究院山东分院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联系电话：0531-82076556  82078787 手机：18311268918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邮箱：gov_gov@126.com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网址：www.v-gov.cn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附件：1.课例分类及内容要求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96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2.评审标准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96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3.评比方式</w:t>
      </w:r>
    </w:p>
    <w:p>
      <w:pPr>
        <w:numPr>
          <w:ilvl w:val="0"/>
          <w:numId w:val="0"/>
        </w:numPr>
        <w:jc w:val="both"/>
        <w:spacing w:lineRule="exact" w:line="560" w:before="0" w:after="0"/>
        <w:ind w:left="1413" w:right="0" w:hanging="422"/>
        <w:rPr>
          <w:spacing w:val="-20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4.</w:t>
      </w:r>
      <w:r>
        <w:rPr>
          <w:spacing w:val="-20"/>
          <w:color w:val="auto"/>
          <w:position w:val="0"/>
          <w:sz w:val="28"/>
          <w:szCs w:val="28"/>
          <w:rFonts w:ascii="仿宋" w:eastAsia="仿宋" w:hAnsi="仿宋" w:hint="default"/>
        </w:rPr>
        <w:t>第一届全国校外教育说课比赛参赛选手登记表</w:t>
      </w:r>
    </w:p>
    <w:p>
      <w:pPr>
        <w:numPr>
          <w:ilvl w:val="0"/>
          <w:numId w:val="0"/>
        </w:numPr>
        <w:jc w:val="both"/>
        <w:spacing w:lineRule="exact" w:line="560" w:before="0" w:after="0"/>
        <w:ind w:left="1413" w:right="0" w:hanging="422"/>
        <w:rPr>
          <w:spacing w:val="-20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全国教育科学研究领导小组办公室       全国校外教育工作委员会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448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2017年11月5日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3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全国校外教育工作委员会办公室      2017年11月5日印发</w:t>
      </w:r>
    </w:p>
    <w:p>
      <w:pPr>
        <w:numPr>
          <w:ilvl w:val="0"/>
          <w:numId w:val="0"/>
        </w:numPr>
        <w:jc w:val="right"/>
        <w:spacing w:lineRule="exact" w:line="560" w:before="0" w:after="0"/>
        <w:ind w:right="21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12" type="#_x0000_t32" style="position:absolute;left:0;margin-left:0pt;mso-position-horizontal:absolute;mso-position-horizontal-relative:text;margin-top:7pt;mso-position-vertical:absolute;mso-position-vertical-relative:text;width:414.0pt;height:0.0pt;z-index:251624963" strokecolor="black" o:allowoverlap="0" strokeweight="0pt" fillcolor="white" filled="t" o:connectortype="straight"/>
        </w:pict>
      </w: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13" type="#_x0000_t32" style="position:absolute;left:0;margin-left:0pt;mso-position-horizontal:absolute;mso-position-horizontal-relative:text;margin-top:-24pt;mso-position-vertical:absolute;mso-position-vertical-relative:text;width:414.0pt;height:0.0pt;z-index:251624962" strokecolor="black" o:allowoverlap="0" strokeweight="0pt" fillcolor="white" filled="t" o:connectortype="straight"/>
        </w:pic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（共印60份）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附件1：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课例分类及内容要求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27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本次比赛的课例分下列三类：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1、课程设计。包括课程简介、课程背景、课程理念、课程目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标、课程设置、课程内容、课程实施、课程评价等内容，参赛者在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10分钟内完成。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2、教学课例。以一堂课为例，选题并阐明：教学材料、教学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对象、教学方法及内容、教学重、难点、教学总结与反思，参赛者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在10分钟内完成。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3、活动方案。围绕一个(或系列)的教育、教学活动，按：活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动依据、活动目标、活动主题、活动内容形式、活动对象规模、活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动地点时间、活动前期准备、活动过程、活动效果、评价，参赛者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在10分钟内完成。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79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上述三类课例对专业、选题不设具体要求，选手在选题时尽量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选择有“创新思维、创新理念”的课程研究、课案分析、活动方案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内容，在教学、活动模式方面也要有创新的尝试。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专家评委在赛后集中分专业进行点评，三类课例的评分标准也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略有区别。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附件2：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352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评审标准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3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27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一、初审标准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各选手的录像清楚、稳定，PPT制作完整、清晰，在所分类型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的课例中优良。初审采用综合评审方法，按评委得票多少为依据，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确定出选手参加全国比赛。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二、全国比赛的评审标准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5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(一) 课程设计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63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1、课程选题：选题准确、新颖（ 5分）。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left="2" w:right="0" w:firstLine="563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2、课程设计：逻辑清晰、科学合理、理念模式有创新（35分）。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63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3、PPT制作：美观、新颖，与讲课内容结合科学（20分）。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66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4、说课者的基本功：仪表、仪态（10分）；语言表达（20分）。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63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5、说课时间控制：在规定时间内完成（10分）。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5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(二) 教学课例</w:t>
      </w:r>
    </w:p>
    <w:p>
      <w:pPr>
        <w:numPr>
          <w:ilvl w:val="0"/>
          <w:numId w:val="0"/>
        </w:numPr>
        <w:jc w:val="both"/>
        <w:spacing w:lineRule="exact" w:line="560" w:before="0" w:after="0"/>
        <w:ind w:left="320" w:right="0" w:firstLine="246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1、教案的选择：有创新，可推广（5分）。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6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2、教学过程：教学的目标明确、教材选择科学、教学过程流畅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、教学重难准确、教学方法创新、教学成果明显、教学总结反思深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刻(35分)。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6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3、PPT制作：美观、大方、新颖，与讲述内容相符(20分)。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6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4、说课者的基本功：仪表、仪态(10分)；语言表达(20分)。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6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5、说课时间控制：在规定时间内完成 (10分)。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5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 xml:space="preserve">（三） 活动方案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3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1、活动方案的选择：有一定的代表性，立意高，易推广，受欢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迎(10分)。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3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2、活动内容：设置实施科学，过程合理，目标明确，意义深远，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参与者积极喜爱，理念模式有创新(30分)。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3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3、PPT制作：精美、新颖、清晰，与讲述内容相符(20分)。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3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4、说课者的基本功：仪表、仪态(10分)；语言表达(20分)。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563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5、说课时间控制：在规定时间内完成(10分)。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附件3：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评比方式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707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1、初审：评委根据各选手报送的录像、PPT进行综合性评判，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用票决的形式，推荐出选手参加全国比赛。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707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2、全国比赛：5名评委现场打分（依据评分标准打分），去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掉一个最高分和一个最低分后，平均分为选手的最终得分（保留小数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点后二位）。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707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3、评委专家在比赛结束后集中分专业点评。点评不影响选手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的最终得分，只向参赛者提供专业意见。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707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4、根据得分评出一等奖3名、二等奖7名、三等奖20名。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707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5、比赛结束当场宣布结果，并现场颁奖。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br w:type="page"/>
      </w:r>
    </w:p>
    <w:p>
      <w:pPr>
        <w:numPr>
          <w:ilvl w:val="0"/>
          <w:numId w:val="0"/>
        </w:numPr>
        <w:jc w:val="left"/>
        <w:spacing w:lineRule="atLeast" w:line="22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附件4：</w:t>
      </w:r>
    </w:p>
    <w:p>
      <w:pPr>
        <w:numPr>
          <w:ilvl w:val="0"/>
          <w:numId w:val="0"/>
        </w:numPr>
        <w:jc w:val="center"/>
        <w:spacing w:lineRule="atLeast" w:line="220" w:before="0" w:after="0"/>
        <w:ind w:right="0" w:firstLine="0"/>
        <w:rPr>
          <w:spacing w:val="-20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spacing w:val="-20"/>
          <w:color w:val="auto"/>
          <w:position w:val="0"/>
          <w:sz w:val="28"/>
          <w:szCs w:val="28"/>
          <w:rFonts w:ascii="仿宋" w:eastAsia="仿宋" w:hAnsi="仿宋" w:hint="default"/>
        </w:rPr>
        <w:t>第一届全国校外教育说课</w:t>
      </w:r>
    </w:p>
    <w:p>
      <w:pPr>
        <w:numPr>
          <w:ilvl w:val="0"/>
          <w:numId w:val="0"/>
        </w:numPr>
        <w:jc w:val="center"/>
        <w:spacing w:lineRule="atLeast" w:line="22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spacing w:val="-20"/>
          <w:color w:val="auto"/>
          <w:position w:val="0"/>
          <w:sz w:val="28"/>
          <w:szCs w:val="28"/>
          <w:rFonts w:ascii="仿宋" w:eastAsia="仿宋" w:hAnsi="仿宋" w:hint="default"/>
        </w:rPr>
        <w:t>比赛参赛选手登记表</w:t>
      </w:r>
    </w:p>
    <w:p>
      <w:pPr>
        <w:numPr>
          <w:ilvl w:val="0"/>
          <w:numId w:val="0"/>
        </w:numPr>
        <w:jc w:val="center"/>
        <w:spacing w:lineRule="atLeast" w:line="22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编号：                                      年   月   日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0A0" w:firstRow="1" w:lastRow="0" w:firstColumn="1" w:lastColumn="0" w:noHBand="0" w:noVBand="0"/>
        <w:tblLayout w:type="auto"/>
      </w:tblPr>
      <w:tblGrid>
        <w:gridCol w:w="1526"/>
        <w:gridCol w:w="850"/>
        <w:gridCol w:w="1275"/>
        <w:gridCol w:w="993"/>
        <w:gridCol w:w="1442"/>
        <w:gridCol w:w="1252"/>
        <w:gridCol w:w="1184"/>
      </w:tblGrid>
      <w:tr>
        <w:trPr>
          <w:trHeight w:hRule="atleast" w:val="648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选手单位</w:t>
            </w:r>
          </w:p>
        </w:tc>
        <w:tc>
          <w:tcPr>
            <w:tcW w:type="dxa" w:w="6996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737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活动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联系人</w:t>
            </w:r>
          </w:p>
        </w:tc>
        <w:tc>
          <w:tcPr>
            <w:tcW w:type="dxa" w:w="2125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9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手机</w:t>
            </w:r>
          </w:p>
        </w:tc>
        <w:tc>
          <w:tcPr>
            <w:tcW w:type="dxa" w:w="3878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/>
        <w:tc>
          <w:tcPr>
            <w:tcW w:type="dxa" w:w="1526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参赛选手</w:t>
            </w:r>
          </w:p>
        </w:tc>
        <w:tc>
          <w:tcPr>
            <w:tcW w:type="dxa" w:w="85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姓名</w:t>
            </w:r>
          </w:p>
        </w:tc>
        <w:tc>
          <w:tcPr>
            <w:tcW w:type="dxa" w:w="12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9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年龄</w:t>
            </w:r>
          </w:p>
        </w:tc>
        <w:tc>
          <w:tcPr>
            <w:tcW w:type="dxa" w:w="144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5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性别</w:t>
            </w:r>
          </w:p>
        </w:tc>
        <w:tc>
          <w:tcPr>
            <w:tcW w:type="dxa" w:w="118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/>
        <w:tc>
          <w:tcPr>
            <w:tcW w:type="dxa" w:w="1526"/>
            <w:vAlign w:val="center"/>
            <w:vMerge/>
          </w:tcPr>
          <w:p/>
        </w:tc>
        <w:tc>
          <w:tcPr>
            <w:tcW w:type="dxa" w:w="85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手机</w:t>
            </w:r>
          </w:p>
        </w:tc>
        <w:tc>
          <w:tcPr>
            <w:tcW w:type="dxa" w:w="127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99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QQ号</w:t>
            </w:r>
          </w:p>
        </w:tc>
        <w:tc>
          <w:tcPr>
            <w:tcW w:type="dxa" w:w="144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5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微信号</w:t>
            </w:r>
          </w:p>
        </w:tc>
        <w:tc>
          <w:tcPr>
            <w:tcW w:type="dxa" w:w="118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694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毕业院校</w:t>
            </w:r>
          </w:p>
        </w:tc>
        <w:tc>
          <w:tcPr>
            <w:tcW w:type="dxa" w:w="6996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704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说课题目</w:t>
            </w:r>
          </w:p>
        </w:tc>
        <w:tc>
          <w:tcPr>
            <w:tcW w:type="dxa" w:w="6996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691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选题类型</w:t>
            </w:r>
          </w:p>
        </w:tc>
        <w:tc>
          <w:tcPr>
            <w:tcW w:type="dxa" w:w="6996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课程设计（）教学课例（）活动方案（）</w:t>
            </w:r>
          </w:p>
        </w:tc>
      </w:tr>
      <w:tr>
        <w:trPr>
          <w:trHeight w:hRule="atleast" w:val="5374"/>
        </w:trPr>
        <w:tc>
          <w:tcPr>
            <w:tcW w:type="dxa" w:w="152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说课内容</w:t>
            </w: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（简介）</w:t>
            </w:r>
          </w:p>
        </w:tc>
        <w:tc>
          <w:tcPr>
            <w:tcW w:type="dxa" w:w="6996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tLeast" w:line="22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sectPr>
      <w:footerReference w:type="even" r:id="rId5"/>
      <w:footerReference w:type="default" r:id="rId6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framePr w:wrap="none" w:hSpace="0" w:vSpace="0" w:hAnchor="margin" w:vAnchor="text" w:y="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right" w:pos="8306"/>
        <w:tab w:val="right" w:pos="8306"/>
      </w:tabs>
      <w:rPr>
        <w:rStyle w:val="PO154"/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Times New Roman" w:eastAsia="Times New Roman" w:hAnsi="Times New Roman" w:hint="default"/>
      </w:rPr>
      <w:fldChar w:fldCharType="begin"/>
    </w:r>
    <w:r>
      <w:instrText>PAGE  \* MERGEFORMAT</w:instrText>
    </w:r>
    <w:r>
      <w:rPr>
        <w:rStyle w:val="PO154"/>
        <w:color w:val="auto"/>
        <w:position w:val="0"/>
        <w:sz w:val="18"/>
        <w:szCs w:val="18"/>
        <w:rFonts w:ascii="Times New Roman" w:eastAsia="Times New Roman" w:hAnsi="Times New Roman" w:hint="default"/>
      </w:rPr>
      <w:fldChar w:fldCharType="end"/>
    </w:r>
  </w:p>
  <w:p>
    <w:pPr>
      <w:pStyle w:val="PO15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framePr w:wrap="none" w:hSpace="0" w:vSpace="0" w:hAnchor="margin" w:vAnchor="text" w:y="1" w:x="410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right" w:pos="8306"/>
        <w:tab w:val="right" w:pos="8306"/>
      </w:tabs>
      <w:rPr>
        <w:rStyle w:val="PO154"/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Times New Roman" w:eastAsia="Times New Roman" w:hAnsi="Times New Roman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4"/>
        <w:color w:val="auto"/>
        <w:position w:val="0"/>
        <w:sz w:val="18"/>
        <w:szCs w:val="18"/>
        <w:rFonts w:ascii="Times New Roman" w:eastAsia="Times New Roman" w:hAnsi="Times New Roman" w:hint="default"/>
      </w:rPr>
      <w:t>9</w:t>
    </w:r>
    <w:r>
      <w:rPr>
        <w:rStyle w:val="PO154"/>
        <w:color w:val="auto"/>
        <w:position w:val="0"/>
        <w:sz w:val="18"/>
        <w:szCs w:val="18"/>
        <w:rFonts w:ascii="Times New Roman" w:eastAsia="Times New Roman" w:hAnsi="Times New Roman" w:hint="default"/>
      </w:rPr>
      <w:fldChar w:fldCharType="end"/>
    </w:r>
  </w:p>
  <w:p>
    <w:pPr>
      <w:pStyle w:val="PO15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japaneseCounting"/>
      <w:start w:val="1"/>
      <w:suff w:val="tab"/>
      <w:pPr>
        <w:ind w:left="720" w:hanging="720"/>
        <w:jc w:val="both"/>
        <w:tabs>
          <w:tab w:val="left" w:pos="720"/>
        </w:tabs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  <w:tabs>
          <w:tab w:val="left" w:pos="840"/>
        </w:tabs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  <w:tabs>
          <w:tab w:val="left" w:pos="1260"/>
        </w:tabs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  <w:tabs>
          <w:tab w:val="left" w:pos="1680"/>
        </w:tabs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  <w:tabs>
          <w:tab w:val="left" w:pos="2100"/>
        </w:tabs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  <w:tabs>
          <w:tab w:val="left" w:pos="2520"/>
        </w:tabs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  <w:tabs>
          <w:tab w:val="left" w:pos="2940"/>
        </w:tabs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  <w:tabs>
          <w:tab w:val="left" w:pos="3360"/>
        </w:tabs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  <w:tabs>
          <w:tab w:val="left" w:pos="3780"/>
        </w:tabs>
      </w:pPr>
      <w:lvlText w:val="%9."/>
    </w:lvl>
  </w:abstractNum>
  <w:abstractNum w:abstractNumId="1">
    <w:multiLevelType w:val="hybridMultilevel"/>
    <w:nsid w:val="000001"/>
    <w:tmpl w:val="004823"/>
    <w:lvl w:ilvl="0">
      <w:lvlJc w:val="left"/>
      <w:numFmt w:val="japaneseCounting"/>
      <w:start w:val="1"/>
      <w:suff w:val="tab"/>
      <w:pPr>
        <w:ind w:left="1875" w:hanging="1245"/>
        <w:jc w:val="both"/>
        <w:tabs>
          <w:tab w:val="left" w:pos="1875"/>
        </w:tabs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1470" w:hanging="420"/>
        <w:jc w:val="both"/>
        <w:tabs>
          <w:tab w:val="left" w:pos="1470"/>
        </w:tabs>
      </w:pPr>
      <w:lvlText w:val="%2)"/>
    </w:lvl>
    <w:lvl w:ilvl="2">
      <w:lvlJc w:val="right"/>
      <w:numFmt w:val="lowerRoman"/>
      <w:start w:val="1"/>
      <w:suff w:val="tab"/>
      <w:pPr>
        <w:ind w:left="1890" w:hanging="420"/>
        <w:jc w:val="both"/>
        <w:tabs>
          <w:tab w:val="left" w:pos="1890"/>
        </w:tabs>
      </w:pPr>
      <w:lvlText w:val="%3."/>
    </w:lvl>
    <w:lvl w:ilvl="3">
      <w:lvlJc w:val="left"/>
      <w:numFmt w:val="decimal"/>
      <w:start w:val="1"/>
      <w:suff w:val="tab"/>
      <w:pPr>
        <w:ind w:left="2310" w:hanging="420"/>
        <w:jc w:val="both"/>
        <w:tabs>
          <w:tab w:val="left" w:pos="2310"/>
        </w:tabs>
      </w:pPr>
      <w:lvlText w:val="%4."/>
    </w:lvl>
    <w:lvl w:ilvl="4">
      <w:lvlJc w:val="left"/>
      <w:numFmt w:val="lowerLetter"/>
      <w:start w:val="1"/>
      <w:suff w:val="tab"/>
      <w:pPr>
        <w:ind w:left="2730" w:hanging="420"/>
        <w:jc w:val="both"/>
        <w:tabs>
          <w:tab w:val="left" w:pos="2730"/>
        </w:tabs>
      </w:pPr>
      <w:lvlText w:val="%5)"/>
    </w:lvl>
    <w:lvl w:ilvl="5">
      <w:lvlJc w:val="right"/>
      <w:numFmt w:val="lowerRoman"/>
      <w:start w:val="1"/>
      <w:suff w:val="tab"/>
      <w:pPr>
        <w:ind w:left="3150" w:hanging="420"/>
        <w:jc w:val="both"/>
        <w:tabs>
          <w:tab w:val="left" w:pos="3150"/>
        </w:tabs>
      </w:pPr>
      <w:lvlText w:val="%6."/>
    </w:lvl>
    <w:lvl w:ilvl="6">
      <w:lvlJc w:val="left"/>
      <w:numFmt w:val="decimal"/>
      <w:start w:val="1"/>
      <w:suff w:val="tab"/>
      <w:pPr>
        <w:ind w:left="3570" w:hanging="420"/>
        <w:jc w:val="both"/>
        <w:tabs>
          <w:tab w:val="left" w:pos="3570"/>
        </w:tabs>
      </w:pPr>
      <w:lvlText w:val="%7."/>
    </w:lvl>
    <w:lvl w:ilvl="7">
      <w:lvlJc w:val="left"/>
      <w:numFmt w:val="lowerLetter"/>
      <w:start w:val="1"/>
      <w:suff w:val="tab"/>
      <w:pPr>
        <w:ind w:left="3990" w:hanging="420"/>
        <w:jc w:val="both"/>
        <w:tabs>
          <w:tab w:val="left" w:pos="3990"/>
        </w:tabs>
      </w:pPr>
      <w:lvlText w:val="%8)"/>
    </w:lvl>
    <w:lvl w:ilvl="8">
      <w:lvlJc w:val="right"/>
      <w:numFmt w:val="lowerRoman"/>
      <w:start w:val="1"/>
      <w:suff w:val="tab"/>
      <w:pPr>
        <w:ind w:left="4410" w:hanging="420"/>
        <w:jc w:val="both"/>
        <w:tabs>
          <w:tab w:val="left" w:pos="4410"/>
        </w:tabs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40833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Body Text"/>
    <w:basedOn w:val="PO1"/>
    <w:uiPriority w:val="151"/>
    <w:pPr>
      <w:autoSpaceDE w:val="1"/>
      <w:autoSpaceDN w:val="1"/>
      <w:widowControl/>
      <w:wordWrap/>
    </w:pPr>
    <w:rPr>
      <w:rFonts w:ascii="仿宋_GB2312" w:eastAsia="仿宋_GB2312" w:hAnsi="仿宋_GB2312"/>
      <w:shd w:val="clear"/>
      <w:sz w:val="30"/>
      <w:szCs w:val="30"/>
      <w:w w:val="100"/>
    </w:rPr>
  </w:style>
  <w:style w:customStyle="1" w:styleId="PO152" w:type="paragraph">
    <w:name w:val="Char Char Char Char"/>
    <w:basedOn w:val="PO1"/>
    <w:uiPriority w:val="152"/>
    <w:rPr>
      <w:rFonts w:ascii="Tahoma" w:eastAsia="Tahoma" w:hAnsi="Tahoma"/>
      <w:shd w:val="clear"/>
      <w:sz w:val="24"/>
      <w:szCs w:val="24"/>
      <w:w w:val="100"/>
    </w:rPr>
  </w:style>
  <w:style w:styleId="PO153" w:type="paragraph">
    <w:name w:val="footer"/>
    <w:basedOn w:val="PO1"/>
    <w:uiPriority w:val="153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character">
    <w:name w:val="page number"/>
    <w:basedOn w:val="PO2"/>
    <w:uiPriority w:val="154"/>
  </w:style>
  <w:style w:styleId="PO155" w:type="paragraph">
    <w:name w:val="header"/>
    <w:basedOn w:val="PO1"/>
    <w:link w:val="PO156"/>
    <w:uiPriority w:val="155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眉 Char"/>
    <w:link w:val="PO155"/>
    <w:uiPriority w:val="156"/>
    <w:rPr>
      <w:shd w:val="clear"/>
      <w:sz w:val="18"/>
      <w:szCs w:val="18"/>
      <w:w w:val="100"/>
    </w:rPr>
  </w:style>
  <w:style w:styleId="PO157" w:type="paragraph">
    <w:name w:val="Date"/>
    <w:basedOn w:val="PO1"/>
    <w:next w:val="PO1"/>
    <w:link w:val="PO158"/>
    <w:uiPriority w:val="157"/>
    <w:pPr>
      <w:autoSpaceDE w:val="1"/>
      <w:autoSpaceDN w:val="1"/>
      <w:ind w:left="100" w:firstLine="0"/>
      <w:widowControl/>
      <w:wordWrap/>
    </w:pPr>
  </w:style>
  <w:style w:customStyle="1" w:styleId="PO158" w:type="character">
    <w:name w:val="日期 Char"/>
    <w:link w:val="PO157"/>
    <w:uiPriority w:val="158"/>
    <w:rPr>
      <w:shd w:val="clear"/>
      <w:sz w:val="21"/>
      <w:szCs w:val="21"/>
      <w:w w:val="100"/>
    </w:rPr>
  </w:style>
  <w:style w:styleId="PO159" w:type="character">
    <w:name w:val="Hyperlink"/>
    <w:uiPriority w:val="159"/>
    <w:rPr>
      <w:color w:val="0000FF"/>
      <w:rFonts w:ascii="宋体" w:eastAsia="Times New Roman" w:hAnsi="宋体"/>
      <w:shd w:val="clear"/>
      <w:sz w:val="20"/>
      <w:szCs w:val="20"/>
      <w:u w:val="single"/>
      <w:w w:val="100"/>
    </w:rPr>
  </w:style>
  <w:style w:styleId="PO160" w:type="paragraph">
    <w:name w:val="Balloon Text"/>
    <w:basedOn w:val="PO1"/>
    <w:link w:val="PO161"/>
    <w:uiPriority w:val="160"/>
    <w:rPr>
      <w:shd w:val="clear"/>
      <w:sz w:val="18"/>
      <w:szCs w:val="18"/>
      <w:w w:val="100"/>
    </w:rPr>
  </w:style>
  <w:style w:customStyle="1" w:styleId="PO161" w:type="character">
    <w:name w:val="批注框文本 Char"/>
    <w:basedOn w:val="PO2"/>
    <w:link w:val="PO160"/>
    <w:uiPriority w:val="161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footer" Target="footer4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Microsoft</Company>
  <DocSecurity>0</DocSecurity>
  <HyperlinksChanged>false</HyperlinksChanged>
  <Lines>22</Lines>
  <LinksUpToDate>false</LinksUpToDate>
  <Pages>9</Pages>
  <Paragraphs>6</Paragraphs>
  <Words>463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  <dc:title>深少宫纪字[2009]10号</dc:title>
  <dcterms:modified xsi:type="dcterms:W3CDTF">2017-10-15T08:03:00Z</dcterms:modified>
</cp:coreProperties>
</file>